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附件</w:t>
      </w:r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    步骤1：申报人登录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B77CD"/>
          <w:spacing w:val="0"/>
          <w:sz w:val="27"/>
          <w:szCs w:val="27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B77CD"/>
          <w:spacing w:val="0"/>
          <w:sz w:val="27"/>
          <w:szCs w:val="27"/>
          <w:u w:val="none"/>
          <w:shd w:val="clear" w:fill="FFFFFF"/>
        </w:rPr>
        <w:instrText xml:space="preserve"> HYPERLINK "http://ggfw.rlsbj.cq.gov.cn/cqzyjsrcw/positional-portal-web/public/cert/toUserPage" \t "https://rlsbj.cq.gov.cn/ywzl/zjrc/sy/tzgg_110153/202210/_blank"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B77CD"/>
          <w:spacing w:val="0"/>
          <w:sz w:val="27"/>
          <w:szCs w:val="27"/>
          <w:u w:val="none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0B77CD"/>
          <w:spacing w:val="0"/>
          <w:sz w:val="27"/>
          <w:szCs w:val="27"/>
          <w:u w:val="none"/>
          <w:shd w:val="clear" w:fill="FFFFFF"/>
        </w:rPr>
        <w:t>重庆市专业技术人员服务平台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B77CD"/>
          <w:spacing w:val="0"/>
          <w:sz w:val="27"/>
          <w:szCs w:val="27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（http://ggfw.rlsbj.cq.gov.cn/cqzyjsrcw/positional-portal-web/public/cert/toUserPage）选择“职称”版块进入“个人中心”。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5955030" cy="3191510"/>
            <wp:effectExtent l="0" t="0" r="7620" b="8890"/>
            <wp:docPr id="1" name="图片 1" descr="图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.png"/>
                    <pic:cNvPicPr>
                      <a:picLocks noChangeAspect="1"/>
                    </pic:cNvPicPr>
                  </pic:nvPicPr>
                  <pic:blipFill>
                    <a:blip r:embed="rId4"/>
                    <a:srcRect l="3060" r="5829"/>
                    <a:stretch>
                      <a:fillRect/>
                    </a:stretch>
                  </pic:blipFill>
                  <pic:spPr>
                    <a:xfrm>
                      <a:off x="0" y="0"/>
                      <a:ext cx="5955030" cy="3191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-238760</wp:posOffset>
            </wp:positionH>
            <wp:positionV relativeFrom="paragraph">
              <wp:posOffset>835025</wp:posOffset>
            </wp:positionV>
            <wp:extent cx="6172835" cy="3014345"/>
            <wp:effectExtent l="0" t="0" r="18415" b="14605"/>
            <wp:wrapSquare wrapText="bothSides"/>
            <wp:docPr id="2" name="图片 2" descr="图片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2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2835" cy="3014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    步骤2：进入“职称申报”专栏，选择“缴费”。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    步骤3：申报人凭个人“非税缴费码”（20位数字）缴纳专业技术职务资格评审费（缴费流程参考“非税缴费指南”，缴纳端口支持云闪付、中国银行、工商银行、农业银行、建设银行、交通银行、招商银行、重庆农村商业银行、重庆三峡银行、华夏银行等），如需开具非税电子发票选择“是”，并填写“非税发票接收电子邮箱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60325</wp:posOffset>
            </wp:positionV>
            <wp:extent cx="5743575" cy="3244850"/>
            <wp:effectExtent l="0" t="0" r="9525" b="12700"/>
            <wp:wrapTight wrapText="bothSides">
              <wp:wrapPolygon>
                <wp:start x="0" y="0"/>
                <wp:lineTo x="0" y="21431"/>
                <wp:lineTo x="21564" y="21431"/>
                <wp:lineTo x="21564" y="0"/>
                <wp:lineTo x="0" y="0"/>
              </wp:wrapPolygon>
            </wp:wrapTight>
            <wp:docPr id="3" name="图片 3" descr="图片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3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244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微软雅黑" w:hAnsi="微软雅黑" w:eastAsia="微软雅黑"/>
          <w:color w:val="333333"/>
          <w:sz w:val="27"/>
          <w:szCs w:val="27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67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Yjg3NWEzMmZlMDFjMGU4MTM3MTdlZTg5MTUzYjAifQ=="/>
  </w:docVars>
  <w:rsids>
    <w:rsidRoot w:val="008872A7"/>
    <w:rsid w:val="007D4C51"/>
    <w:rsid w:val="008872A7"/>
    <w:rsid w:val="00F24DED"/>
    <w:rsid w:val="41B067AB"/>
    <w:rsid w:val="46683A0D"/>
    <w:rsid w:val="58C329AD"/>
    <w:rsid w:val="697E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Emphasis"/>
    <w:basedOn w:val="4"/>
    <w:qFormat/>
    <w:uiPriority w:val="20"/>
    <w:rPr>
      <w:i/>
      <w:iCs/>
    </w:rPr>
  </w:style>
  <w:style w:type="character" w:styleId="7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415</Words>
  <Characters>586</Characters>
  <Lines>2</Lines>
  <Paragraphs>1</Paragraphs>
  <TotalTime>2</TotalTime>
  <ScaleCrop>false</ScaleCrop>
  <LinksUpToDate>false</LinksUpToDate>
  <CharactersWithSpaces>596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2022-10-26T02:30:00Z</dcterms:created>
  <dc:creator>Acer</dc:creator>
  <cp:lastModifiedBy>猫与</cp:lastModifiedBy>
  <dcterms:modified xsi:type="dcterms:W3CDTF">2022-10-27T01:37:58Z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D5E8F869E8F84544A45FBE1F68B6A566</vt:lpwstr>
  </property>
</Properties>
</file>