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560"/>
        <w:jc w:val="both"/>
        <w:textAlignment w:val="auto"/>
        <w:rPr>
          <w:rFonts w:hint="default" w:ascii="Times New Roman" w:hAnsi="Times New Roman" w:eastAsia="微软雅黑" w:cs="Times New Roman"/>
          <w:b w:val="0"/>
          <w:i w:val="0"/>
          <w:caps w:val="0"/>
          <w:color w:val="333333"/>
          <w:spacing w:val="0"/>
          <w:sz w:val="24"/>
          <w:szCs w:val="24"/>
          <w:shd w:val="clear" w:color="auto"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560"/>
        <w:jc w:val="both"/>
        <w:textAlignment w:val="auto"/>
        <w:rPr>
          <w:rFonts w:hint="default" w:ascii="Times New Roman" w:hAnsi="Times New Roman" w:eastAsia="方正仿宋_GBK" w:cs="Times New Roman"/>
          <w:b/>
          <w:bCs/>
          <w:i w:val="0"/>
          <w:caps w:val="0"/>
          <w:color w:val="333333"/>
          <w:spacing w:val="0"/>
          <w:sz w:val="32"/>
          <w:szCs w:val="32"/>
          <w:shd w:val="clear" w:color="auto" w:fill="FFFFFF"/>
        </w:rPr>
      </w:pPr>
      <w:r>
        <w:rPr>
          <w:rFonts w:hint="default" w:ascii="Times New Roman" w:hAnsi="Times New Roman" w:eastAsia="方正仿宋_GBK" w:cs="Times New Roman"/>
          <w:b/>
          <w:bCs/>
          <w:i w:val="0"/>
          <w:caps w:val="0"/>
          <w:color w:val="333333"/>
          <w:spacing w:val="0"/>
          <w:sz w:val="32"/>
          <w:szCs w:val="32"/>
          <w:shd w:val="clear" w:color="auto" w:fill="FFFFFF"/>
        </w:rPr>
        <w:t>附件：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560"/>
        <w:jc w:val="center"/>
        <w:textAlignment w:val="auto"/>
        <w:rPr>
          <w:rFonts w:hint="default" w:ascii="Times New Roman" w:hAnsi="Times New Roman" w:eastAsia="方正小标宋_GBK" w:cs="Times New Roman"/>
          <w:b w:val="0"/>
          <w:i w:val="0"/>
          <w:caps w:val="0"/>
          <w:color w:val="333333"/>
          <w:spacing w:val="0"/>
          <w:sz w:val="32"/>
          <w:szCs w:val="32"/>
          <w:shd w:val="clear" w:color="auto" w:fill="FFFFFF"/>
          <w:lang w:eastAsia="zh-CN"/>
        </w:rPr>
      </w:pPr>
      <w:r>
        <w:rPr>
          <w:rFonts w:hint="default" w:ascii="Times New Roman" w:hAnsi="Times New Roman" w:eastAsia="方正小标宋_GBK" w:cs="Times New Roman"/>
          <w:b w:val="0"/>
          <w:i w:val="0"/>
          <w:caps w:val="0"/>
          <w:color w:val="333333"/>
          <w:spacing w:val="0"/>
          <w:sz w:val="32"/>
          <w:szCs w:val="32"/>
          <w:shd w:val="clear" w:color="auto" w:fill="FFFFFF"/>
          <w:lang w:eastAsia="zh-CN"/>
        </w:rPr>
        <w:t>巫山县中医院简介</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巫山县中医院始建于1992年，是国家二级甲等中医医院，全县中医药龙头单位。医院地处县城繁华地段广东中路，占地面积10093平米，建筑面积21700平方米，设20个临床和医技科室，开放床位350张，职工总数</w:t>
      </w:r>
      <w:r>
        <w:rPr>
          <w:rFonts w:hint="default" w:ascii="Times New Roman" w:hAnsi="Times New Roman" w:eastAsia="方正仿宋_GBK" w:cs="Times New Roman"/>
          <w:sz w:val="32"/>
          <w:szCs w:val="32"/>
          <w:lang w:val="en-US" w:eastAsia="zh-CN"/>
        </w:rPr>
        <w:t>394</w:t>
      </w:r>
      <w:r>
        <w:rPr>
          <w:rFonts w:hint="default" w:ascii="Times New Roman" w:hAnsi="Times New Roman" w:eastAsia="方正仿宋_GBK" w:cs="Times New Roman"/>
          <w:sz w:val="32"/>
          <w:szCs w:val="32"/>
        </w:rPr>
        <w:t>人，年门诊量20余万人次，常年承担县域内及周边地区疾病救治、应急救援、中医药适宜技术推广、中医养生保健服务等工作任务。</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医疗设备先进。配置有1.5T磁共振、多排螺旋CT、日本东芝Aplio400高端超声诊断系统、奥林巴期高清电子胃镜、电子肠镜、纤维支气管镜、贝克曼Au680全自动生化分析仪、迈克IS1200全自动化学发光分析仪、希森美康XN—2800全自动血球分析仪、日本积水全自动凝血分析仪、数字化X线摄影系统、进口强生超声刀、史赛克高清电子腹腔镜、脉冲碎石系统、全套血液透析机等价值亿元的大型高端医疗设备。</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人才梯队完备。全院有专业技术人员近300人，其中正高级职称</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人，副高级职称30余人，中级职称60余人，初级职称逾百人。</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学科优势明显。院内各学科均具备一定的技术优势，拥有国家级特色专科康复理疗科和重庆市重点专科中医骨伤科、中西医结合儿科和中医肛肠科。</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科研成果丰硕。近三年来累计完成科研成果10余项，其中获县级科技进步奖6项。在全国各级各类公开出版的杂志发表医学论文100余篇。10余个科室加入重庆市专科联盟。</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建设中的江东新院占地60亩，按三级中医医院标准设计建造，规划总建筑面积3万平米，投资规模逾1.5亿，拟开放床位500张，旨在打造辐射周边的一流渝东名中医院。</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巫山县中医院江东分院建设项目是重庆市利用世界银行贷款二期卫生项目之一，争取到世行贷款8827万元及中央资金2000万元。项目划拨用地60亩，总建筑面积28550平方米，含急诊楼、门诊楼、住院楼、医技楼、综合楼、保障楼及车库。目前已完成全部建筑主体封顶。巫山县中医院摩天岭医院建设项目位于摩天岭森林小镇，划拨用地43.1 亩，总投资8815万元，增设床位165张。前期已完成项目选址、规划调整、国土勘界、可研编制、概念方案设计和地质初步勘察，目前正完善初步设计，推进征地工作。巫山县中医院江东分院和摩天岭医院项目建成后，将有利于提升巫山县中医院的综合实力，增强其辐射带动作用，对保障巫山县及周边区县群众健康发挥积极作用。</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“传承、创新、厚德、奉献”，展望未来，巫山县中医院正以雄壮之姿、喷薄之势，向更高、更远的明天迈进！</w:t>
      </w:r>
    </w:p>
    <w:p>
      <w:bookmarkStart w:id="0" w:name="_GoBack"/>
      <w:bookmarkEnd w:id="0"/>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5078A5"/>
    <w:rsid w:val="28F86FF5"/>
    <w:rsid w:val="7E5078A5"/>
    <w:rsid w:val="7EBE6F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2020-05-07T06:24:00Z</dcterms:created>
  <dc:creator>Administrator</dc:creator>
  <cp:lastModifiedBy>Administrator</cp:lastModifiedBy>
  <dcterms:modified xsi:type="dcterms:W3CDTF">2020-05-07T06:24:29Z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